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A0" w:rsidRDefault="003421A0" w:rsidP="003421A0">
      <w:pPr>
        <w:spacing w:after="0"/>
        <w:ind w:left="-567" w:right="-427"/>
        <w:rPr>
          <w:b/>
          <w:sz w:val="28"/>
          <w:szCs w:val="28"/>
        </w:rPr>
      </w:pPr>
      <w:r w:rsidRPr="003421A0">
        <w:rPr>
          <w:b/>
          <w:sz w:val="28"/>
          <w:szCs w:val="28"/>
        </w:rPr>
        <w:t xml:space="preserve">Reunión de la Sociedad Argentina de investigación clínica. </w:t>
      </w:r>
      <w:r>
        <w:rPr>
          <w:b/>
          <w:sz w:val="28"/>
          <w:szCs w:val="28"/>
        </w:rPr>
        <w:t>SAIC.</w:t>
      </w:r>
    </w:p>
    <w:p w:rsidR="003421A0" w:rsidRPr="003421A0" w:rsidRDefault="003421A0" w:rsidP="003421A0">
      <w:pPr>
        <w:spacing w:after="0"/>
        <w:ind w:left="-567" w:right="-427"/>
        <w:rPr>
          <w:b/>
          <w:sz w:val="28"/>
          <w:szCs w:val="28"/>
        </w:rPr>
      </w:pPr>
      <w:r w:rsidRPr="003421A0">
        <w:rPr>
          <w:b/>
          <w:sz w:val="28"/>
          <w:szCs w:val="28"/>
        </w:rPr>
        <w:t xml:space="preserve">Buenos Aires </w:t>
      </w:r>
      <w:r>
        <w:rPr>
          <w:b/>
          <w:sz w:val="28"/>
          <w:szCs w:val="28"/>
        </w:rPr>
        <w:t>.</w:t>
      </w:r>
      <w:r w:rsidRPr="003421A0">
        <w:rPr>
          <w:b/>
          <w:sz w:val="28"/>
          <w:szCs w:val="28"/>
        </w:rPr>
        <w:t xml:space="preserve">2020. </w:t>
      </w:r>
    </w:p>
    <w:p w:rsidR="003421A0" w:rsidRDefault="003421A0" w:rsidP="003421A0">
      <w:pPr>
        <w:spacing w:after="0"/>
        <w:ind w:left="-567" w:right="-427"/>
        <w:rPr>
          <w:sz w:val="28"/>
          <w:szCs w:val="28"/>
        </w:rPr>
      </w:pPr>
    </w:p>
    <w:p w:rsidR="003421A0" w:rsidRPr="003421A0" w:rsidRDefault="003421A0" w:rsidP="003421A0">
      <w:pPr>
        <w:spacing w:after="0"/>
        <w:ind w:left="-567" w:right="-427"/>
        <w:rPr>
          <w:b/>
          <w:sz w:val="32"/>
          <w:szCs w:val="32"/>
        </w:rPr>
      </w:pPr>
      <w:r w:rsidRPr="003421A0">
        <w:rPr>
          <w:b/>
          <w:sz w:val="32"/>
          <w:szCs w:val="32"/>
        </w:rPr>
        <w:t xml:space="preserve">Efectividad del </w:t>
      </w:r>
      <w:proofErr w:type="spellStart"/>
      <w:r w:rsidRPr="003421A0">
        <w:rPr>
          <w:b/>
          <w:sz w:val="32"/>
          <w:szCs w:val="32"/>
        </w:rPr>
        <w:t>Piridin-Carboxilato</w:t>
      </w:r>
      <w:proofErr w:type="spellEnd"/>
      <w:r w:rsidRPr="003421A0">
        <w:rPr>
          <w:b/>
          <w:sz w:val="32"/>
          <w:szCs w:val="32"/>
        </w:rPr>
        <w:t xml:space="preserve"> de Zinc. Un nuevo tratamiento combinado para la Gastritis por </w:t>
      </w:r>
      <w:proofErr w:type="spellStart"/>
      <w:r w:rsidRPr="003421A0">
        <w:rPr>
          <w:b/>
          <w:sz w:val="32"/>
          <w:szCs w:val="32"/>
        </w:rPr>
        <w:t>Helicobacter</w:t>
      </w:r>
      <w:proofErr w:type="spellEnd"/>
      <w:r w:rsidRPr="003421A0">
        <w:rPr>
          <w:b/>
          <w:sz w:val="32"/>
          <w:szCs w:val="32"/>
        </w:rPr>
        <w:t xml:space="preserve"> Pylori.</w:t>
      </w:r>
    </w:p>
    <w:p w:rsidR="003421A0" w:rsidRDefault="003421A0" w:rsidP="003421A0">
      <w:pPr>
        <w:spacing w:after="0"/>
        <w:ind w:left="-567" w:right="-427"/>
        <w:rPr>
          <w:b/>
          <w:sz w:val="32"/>
          <w:szCs w:val="32"/>
        </w:rPr>
      </w:pPr>
      <w:r w:rsidRPr="003421A0">
        <w:rPr>
          <w:b/>
          <w:sz w:val="32"/>
          <w:szCs w:val="32"/>
        </w:rPr>
        <w:t xml:space="preserve">Bedini, </w:t>
      </w:r>
      <w:proofErr w:type="spellStart"/>
      <w:r w:rsidRPr="003421A0">
        <w:rPr>
          <w:b/>
          <w:sz w:val="32"/>
          <w:szCs w:val="32"/>
        </w:rPr>
        <w:t>OscarAlfredo</w:t>
      </w:r>
      <w:proofErr w:type="spellEnd"/>
      <w:r w:rsidRPr="003421A0">
        <w:rPr>
          <w:b/>
          <w:sz w:val="32"/>
          <w:szCs w:val="32"/>
        </w:rPr>
        <w:t>. ; Naves, Ariel. ; San Miguel, Patricia.</w:t>
      </w:r>
    </w:p>
    <w:p w:rsidR="003421A0" w:rsidRPr="003421A0" w:rsidRDefault="003421A0" w:rsidP="003421A0">
      <w:pPr>
        <w:spacing w:after="0"/>
        <w:ind w:left="-567" w:right="-427"/>
        <w:rPr>
          <w:b/>
          <w:sz w:val="32"/>
          <w:szCs w:val="32"/>
        </w:rPr>
      </w:pPr>
    </w:p>
    <w:p w:rsidR="003421A0" w:rsidRDefault="003421A0" w:rsidP="003421A0">
      <w:pPr>
        <w:spacing w:after="0"/>
        <w:ind w:left="-567" w:right="-427"/>
      </w:pPr>
      <w:r>
        <w:rPr>
          <w:b/>
        </w:rPr>
        <w:t>Introducción:</w:t>
      </w:r>
      <w:r>
        <w:t xml:space="preserve"> El zinc (Zinc-piridin-3-carboxilato), es un metal con propiedades regenerativas y acción vasodilatadora. Una vez absorbido por las células intestinales muestra acción antimicrobiana; También se encuentra en las células </w:t>
      </w:r>
      <w:proofErr w:type="spellStart"/>
      <w:r>
        <w:t>metaplásicas</w:t>
      </w:r>
      <w:proofErr w:type="spellEnd"/>
      <w:r>
        <w:t xml:space="preserve"> intestinales y en mayor concentración en las células de </w:t>
      </w:r>
      <w:proofErr w:type="spellStart"/>
      <w:r>
        <w:t>Paneth</w:t>
      </w:r>
      <w:proofErr w:type="spellEnd"/>
      <w:r>
        <w:t xml:space="preserve">, de pacientes con colitis ulcerosa. Considerando su posible rol antimicrobiano, estudiamos su acción en el tratamiento de pacientes con gastritis por </w:t>
      </w:r>
      <w:proofErr w:type="spellStart"/>
      <w:r>
        <w:t>Helicobacter</w:t>
      </w:r>
      <w:proofErr w:type="spellEnd"/>
      <w:r>
        <w:t xml:space="preserve"> pylori (Hp). El </w:t>
      </w:r>
      <w:proofErr w:type="spellStart"/>
      <w:r>
        <w:t>Helicobacter</w:t>
      </w:r>
      <w:proofErr w:type="spellEnd"/>
      <w:r>
        <w:t xml:space="preserve"> pylori, puede localizarse en forma indistinta en los pacientes portadores, a veces solo en el antro gástrico, otras en cuerpo y también en cuerpo y antro gástrico. Rara vez localiza en la mucosa del techo y en el esófago distal. Considerando estas localizaciones, hemos incorporado al estudio, a todos los pacientes que mostraron positividad para el H. P. siguiendo el protocolo de </w:t>
      </w:r>
      <w:proofErr w:type="spellStart"/>
      <w:r>
        <w:t>sydney</w:t>
      </w:r>
      <w:proofErr w:type="spellEnd"/>
      <w:r>
        <w:t xml:space="preserve"> para biopsias a </w:t>
      </w:r>
      <w:proofErr w:type="spellStart"/>
      <w:r>
        <w:t>tyraves</w:t>
      </w:r>
      <w:proofErr w:type="spellEnd"/>
      <w:r>
        <w:t xml:space="preserve"> de VEGDF.  </w:t>
      </w:r>
      <w:r>
        <w:rPr>
          <w:b/>
        </w:rPr>
        <w:t>Objetivo:</w:t>
      </w:r>
      <w:r>
        <w:t xml:space="preserve"> Utilizar el Zinc (Zinc-piridin-3-carboxilato), en el tratamiento de los pacientes con gastritis por Hp, y comprobar </w:t>
      </w:r>
      <w:proofErr w:type="spellStart"/>
      <w:r>
        <w:t>comprobar</w:t>
      </w:r>
      <w:proofErr w:type="spellEnd"/>
      <w:r>
        <w:t xml:space="preserve"> la tasa de erradicación cuando es administrado conjuntamente con las drogas de uso habitual. </w:t>
      </w:r>
      <w:r>
        <w:rPr>
          <w:b/>
        </w:rPr>
        <w:t xml:space="preserve">Método: </w:t>
      </w:r>
      <w:r>
        <w:t>Se estudiaron 7 grupos (G) de 12 pacientes</w:t>
      </w:r>
      <w:r>
        <w:rPr>
          <w:b/>
        </w:rPr>
        <w:t>,</w:t>
      </w:r>
      <w:r>
        <w:t xml:space="preserve"> donde los G: 1</w:t>
      </w:r>
      <w:proofErr w:type="gramStart"/>
      <w:r>
        <w:t>,2,3</w:t>
      </w:r>
      <w:proofErr w:type="gramEnd"/>
      <w:r>
        <w:t xml:space="preserve"> fueron controles . Se incluyeron todos los pacientes con biopsias con una densidad de por lo menos una cruz (+). Los pacientes fueron sometidos a control endoscópico por VEGDF, 2 meses post- tratamiento. Se realizó estudio A.P con coloración de </w:t>
      </w:r>
      <w:proofErr w:type="spellStart"/>
      <w:r>
        <w:t>Giemsa</w:t>
      </w:r>
      <w:proofErr w:type="spellEnd"/>
      <w:r>
        <w:t xml:space="preserve"> para identificación del Hp. Los distintos fármacos utilizados fueron: Amoxicilina 875 mg ( </w:t>
      </w:r>
      <w:proofErr w:type="spellStart"/>
      <w:r>
        <w:t>Amox</w:t>
      </w:r>
      <w:proofErr w:type="spellEnd"/>
      <w:r>
        <w:t xml:space="preserve"> ), </w:t>
      </w:r>
      <w:proofErr w:type="spellStart"/>
      <w:r>
        <w:t>Claritromicina</w:t>
      </w:r>
      <w:proofErr w:type="spellEnd"/>
      <w:r>
        <w:t xml:space="preserve"> 500 mg ( </w:t>
      </w:r>
      <w:proofErr w:type="spellStart"/>
      <w:r>
        <w:t>Clar</w:t>
      </w:r>
      <w:proofErr w:type="spellEnd"/>
      <w:r>
        <w:t xml:space="preserve">.), </w:t>
      </w:r>
      <w:proofErr w:type="spellStart"/>
      <w:r>
        <w:t>Levofloxacina</w:t>
      </w:r>
      <w:proofErr w:type="spellEnd"/>
      <w:r>
        <w:t xml:space="preserve"> 500 mg ( Levo) ,</w:t>
      </w:r>
      <w:proofErr w:type="spellStart"/>
      <w:r>
        <w:t>Metronidazol</w:t>
      </w:r>
      <w:proofErr w:type="spellEnd"/>
      <w:r>
        <w:t xml:space="preserve"> 500 mg ( Metro ), </w:t>
      </w:r>
      <w:proofErr w:type="spellStart"/>
      <w:r>
        <w:t>Esomeprazol</w:t>
      </w:r>
      <w:proofErr w:type="spellEnd"/>
      <w:r>
        <w:t xml:space="preserve"> 40 mg ( Eso),  P-</w:t>
      </w:r>
      <w:proofErr w:type="spellStart"/>
      <w:r>
        <w:t>Carboxilato</w:t>
      </w:r>
      <w:proofErr w:type="spellEnd"/>
      <w:r>
        <w:t xml:space="preserve"> Zinc ( Zn ). Todos los </w:t>
      </w:r>
      <w:proofErr w:type="spellStart"/>
      <w:r>
        <w:t>tt</w:t>
      </w:r>
      <w:proofErr w:type="spellEnd"/>
      <w:r>
        <w:t xml:space="preserve"> se efectuaron por 14 </w:t>
      </w:r>
      <w:proofErr w:type="spellStart"/>
      <w:r>
        <w:t>dias</w:t>
      </w:r>
      <w:proofErr w:type="spellEnd"/>
      <w:r>
        <w:t xml:space="preserve">. El </w:t>
      </w:r>
      <w:proofErr w:type="spellStart"/>
      <w:r>
        <w:t>tt</w:t>
      </w:r>
      <w:proofErr w:type="spellEnd"/>
      <w:r>
        <w:t xml:space="preserve"> con Zn y con ESO, se extendió por 60 </w:t>
      </w:r>
      <w:proofErr w:type="spellStart"/>
      <w:r>
        <w:t>dias</w:t>
      </w:r>
      <w:proofErr w:type="spellEnd"/>
      <w:r>
        <w:t xml:space="preserve"> en todos los casos. Se estableció la tasa de erradicación para cada grupo. </w:t>
      </w:r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>G 1</w:t>
      </w:r>
      <w:r>
        <w:t xml:space="preserve">: </w:t>
      </w:r>
      <w:r>
        <w:rPr>
          <w:b/>
        </w:rPr>
        <w:t xml:space="preserve">12 (P):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1/12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Clar</w:t>
      </w:r>
      <w:proofErr w:type="spellEnd"/>
      <w:r>
        <w:rPr>
          <w:b/>
        </w:rPr>
        <w:t xml:space="preserve">. 500 mg 1/12 </w:t>
      </w:r>
      <w:proofErr w:type="spellStart"/>
      <w:proofErr w:type="gramStart"/>
      <w:r>
        <w:rPr>
          <w:b/>
        </w:rPr>
        <w:t>hs</w:t>
      </w:r>
      <w:proofErr w:type="spellEnd"/>
      <w:r>
        <w:rPr>
          <w:b/>
        </w:rPr>
        <w:t xml:space="preserve">  –</w:t>
      </w:r>
      <w:proofErr w:type="gramEnd"/>
      <w:r>
        <w:rPr>
          <w:b/>
        </w:rPr>
        <w:t xml:space="preserve"> Eso. 40 mg. 1 / 24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. </w:t>
      </w:r>
    </w:p>
    <w:p w:rsidR="003421A0" w:rsidRDefault="003421A0" w:rsidP="003421A0">
      <w:pPr>
        <w:spacing w:after="0"/>
        <w:ind w:left="-567" w:right="-427"/>
      </w:pPr>
      <w:r>
        <w:rPr>
          <w:b/>
        </w:rPr>
        <w:t xml:space="preserve">G 2: 12 (P):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1/12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– Levo. 500 mg 1/12 </w:t>
      </w:r>
      <w:proofErr w:type="spellStart"/>
      <w:proofErr w:type="gramStart"/>
      <w:r>
        <w:rPr>
          <w:b/>
        </w:rPr>
        <w:t>hs</w:t>
      </w:r>
      <w:proofErr w:type="spellEnd"/>
      <w:r>
        <w:rPr>
          <w:b/>
        </w:rPr>
        <w:t xml:space="preserve">  –</w:t>
      </w:r>
      <w:proofErr w:type="gramEnd"/>
      <w:r>
        <w:rPr>
          <w:b/>
        </w:rPr>
        <w:t xml:space="preserve"> Eso. 40 mg. 1 / 24 </w:t>
      </w:r>
      <w:proofErr w:type="spellStart"/>
      <w:r>
        <w:rPr>
          <w:b/>
        </w:rPr>
        <w:t>hs</w:t>
      </w:r>
      <w:proofErr w:type="spellEnd"/>
      <w:r>
        <w:rPr>
          <w:b/>
        </w:rPr>
        <w:t>.</w:t>
      </w:r>
      <w:r>
        <w:rPr>
          <w:b/>
        </w:rPr>
        <w:tab/>
      </w:r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>G 3: 12 (P)</w:t>
      </w:r>
      <w:proofErr w:type="gramStart"/>
      <w:r>
        <w:rPr>
          <w:b/>
        </w:rPr>
        <w:t>:</w:t>
      </w:r>
      <w:proofErr w:type="spellStart"/>
      <w:r>
        <w:rPr>
          <w:b/>
        </w:rPr>
        <w:t>Amox</w:t>
      </w:r>
      <w:proofErr w:type="spellEnd"/>
      <w:proofErr w:type="gramEnd"/>
      <w:r>
        <w:rPr>
          <w:b/>
        </w:rPr>
        <w:t xml:space="preserve">. 875 mg 1/12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– Metro. 500 mg 1/12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– Eso. 40 mg. 1 / 24 </w:t>
      </w:r>
      <w:proofErr w:type="spellStart"/>
      <w:r>
        <w:rPr>
          <w:b/>
        </w:rPr>
        <w:t>hs</w:t>
      </w:r>
      <w:proofErr w:type="spellEnd"/>
      <w:r>
        <w:rPr>
          <w:b/>
        </w:rPr>
        <w:t>.</w:t>
      </w:r>
      <w:r>
        <w:rPr>
          <w:b/>
        </w:rPr>
        <w:tab/>
      </w:r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 xml:space="preserve">G 4: 12 (P):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– </w:t>
      </w:r>
      <w:proofErr w:type="spellStart"/>
      <w:r>
        <w:rPr>
          <w:b/>
        </w:rPr>
        <w:t>Clar</w:t>
      </w:r>
      <w:proofErr w:type="spellEnd"/>
      <w:r>
        <w:rPr>
          <w:b/>
        </w:rPr>
        <w:t xml:space="preserve">. 500 mg – Eso. 40 mg. – Zn 200mg 1/24 </w:t>
      </w:r>
      <w:proofErr w:type="spellStart"/>
      <w:r>
        <w:rPr>
          <w:b/>
        </w:rPr>
        <w:t>hs</w:t>
      </w:r>
      <w:proofErr w:type="spellEnd"/>
      <w:r>
        <w:rPr>
          <w:b/>
        </w:rPr>
        <w:t>.</w:t>
      </w:r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 xml:space="preserve">G 5: 12 (P):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– Levo. 500 mg– Eso. 40 mg. – Zn 200mg 1/24 </w:t>
      </w:r>
      <w:proofErr w:type="spellStart"/>
      <w:r>
        <w:rPr>
          <w:b/>
        </w:rPr>
        <w:t>hs</w:t>
      </w:r>
      <w:proofErr w:type="spellEnd"/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 xml:space="preserve">G 6: 12 (P):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– Metro. 500 mg – Eso. 40 mg. – Zn 200mg 1/24 </w:t>
      </w:r>
      <w:proofErr w:type="spellStart"/>
      <w:r>
        <w:rPr>
          <w:b/>
        </w:rPr>
        <w:t>hs</w:t>
      </w:r>
      <w:proofErr w:type="spellEnd"/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>G 7: 12 (P)</w:t>
      </w:r>
      <w:proofErr w:type="gramStart"/>
      <w:r>
        <w:rPr>
          <w:b/>
        </w:rPr>
        <w:t>:  TT</w:t>
      </w:r>
      <w:proofErr w:type="gramEnd"/>
      <w:r>
        <w:rPr>
          <w:b/>
        </w:rPr>
        <w:t xml:space="preserve"> secuencial. Fase 1 (7 </w:t>
      </w:r>
      <w:proofErr w:type="spellStart"/>
      <w:r>
        <w:rPr>
          <w:b/>
        </w:rPr>
        <w:t>dias</w:t>
      </w:r>
      <w:proofErr w:type="spellEnd"/>
      <w:r>
        <w:rPr>
          <w:b/>
        </w:rPr>
        <w:t xml:space="preserve">) + Fase 2 (7 </w:t>
      </w:r>
      <w:proofErr w:type="spellStart"/>
      <w:r>
        <w:rPr>
          <w:b/>
        </w:rPr>
        <w:t>dias</w:t>
      </w:r>
      <w:proofErr w:type="spellEnd"/>
      <w:r>
        <w:rPr>
          <w:b/>
        </w:rPr>
        <w:t xml:space="preserve">). </w:t>
      </w:r>
    </w:p>
    <w:p w:rsidR="003421A0" w:rsidRDefault="003421A0" w:rsidP="003421A0">
      <w:pPr>
        <w:spacing w:after="0"/>
        <w:ind w:left="-567" w:right="-427"/>
        <w:rPr>
          <w:b/>
        </w:rPr>
      </w:pPr>
      <w:r>
        <w:rPr>
          <w:b/>
        </w:rPr>
        <w:t xml:space="preserve">Fase 1: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– Levo. 500 mg – Eso. 40 mg. – Zn 200mg 1/24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por 7 </w:t>
      </w:r>
      <w:proofErr w:type="spellStart"/>
      <w:r>
        <w:rPr>
          <w:b/>
        </w:rPr>
        <w:t>dias</w:t>
      </w:r>
      <w:proofErr w:type="spellEnd"/>
      <w:r>
        <w:rPr>
          <w:b/>
        </w:rPr>
        <w:t xml:space="preserve">. </w:t>
      </w:r>
    </w:p>
    <w:p w:rsidR="003421A0" w:rsidRDefault="003421A0" w:rsidP="003421A0">
      <w:pPr>
        <w:spacing w:after="0"/>
        <w:ind w:left="-567" w:right="-427"/>
      </w:pPr>
      <w:r>
        <w:rPr>
          <w:b/>
        </w:rPr>
        <w:t xml:space="preserve">Fase 2: </w:t>
      </w:r>
      <w:proofErr w:type="spellStart"/>
      <w:r>
        <w:rPr>
          <w:b/>
        </w:rPr>
        <w:t>Amox</w:t>
      </w:r>
      <w:proofErr w:type="spellEnd"/>
      <w:r>
        <w:rPr>
          <w:b/>
        </w:rPr>
        <w:t xml:space="preserve">. 875 mg – Metro. 500 mg – Eso. 40 mg. – Zn 200mg 1/24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por 7 </w:t>
      </w:r>
      <w:proofErr w:type="spellStart"/>
      <w:r>
        <w:rPr>
          <w:b/>
        </w:rPr>
        <w:t>dias</w:t>
      </w:r>
      <w:proofErr w:type="spellEnd"/>
      <w:r>
        <w:rPr>
          <w:b/>
        </w:rPr>
        <w:t>.</w:t>
      </w:r>
    </w:p>
    <w:p w:rsidR="003421A0" w:rsidRDefault="003421A0" w:rsidP="003421A0">
      <w:pPr>
        <w:tabs>
          <w:tab w:val="left" w:pos="1491"/>
        </w:tabs>
        <w:spacing w:after="0"/>
        <w:ind w:left="-567" w:right="-427"/>
        <w:rPr>
          <w:b/>
        </w:rPr>
      </w:pPr>
      <w:r>
        <w:rPr>
          <w:b/>
        </w:rPr>
        <w:t>Resultados:</w:t>
      </w:r>
    </w:p>
    <w:p w:rsidR="003421A0" w:rsidRDefault="003421A0" w:rsidP="003421A0">
      <w:pPr>
        <w:tabs>
          <w:tab w:val="left" w:pos="1491"/>
        </w:tabs>
        <w:spacing w:after="0"/>
        <w:ind w:left="-567" w:right="-427"/>
      </w:pPr>
      <w:r>
        <w:t xml:space="preserve">Grupo 1: Persistencia de la </w:t>
      </w:r>
      <w:proofErr w:type="spellStart"/>
      <w:r>
        <w:t>inf</w:t>
      </w:r>
      <w:proofErr w:type="spellEnd"/>
      <w:r>
        <w:t xml:space="preserve">. </w:t>
      </w:r>
      <w:proofErr w:type="gramStart"/>
      <w:r>
        <w:t>por</w:t>
      </w:r>
      <w:proofErr w:type="gramEnd"/>
      <w:r>
        <w:t xml:space="preserve">  Hp : 4 pacientes . Tasa de erradicación: 66.6 %   </w:t>
      </w:r>
    </w:p>
    <w:p w:rsidR="003421A0" w:rsidRDefault="003421A0" w:rsidP="003421A0">
      <w:pPr>
        <w:spacing w:after="0"/>
        <w:ind w:left="-567" w:right="-427"/>
      </w:pPr>
      <w:r>
        <w:t xml:space="preserve">Grupo 2: Persistencia de la </w:t>
      </w:r>
      <w:proofErr w:type="spellStart"/>
      <w:r>
        <w:t>inf</w:t>
      </w:r>
      <w:proofErr w:type="spellEnd"/>
      <w:r>
        <w:t xml:space="preserve">. </w:t>
      </w:r>
      <w:proofErr w:type="gramStart"/>
      <w:r>
        <w:t>por</w:t>
      </w:r>
      <w:proofErr w:type="gramEnd"/>
      <w:r>
        <w:t xml:space="preserve"> Hp:   3 pacientes.  Tasa de erradicación: 75   %                                                 </w:t>
      </w:r>
    </w:p>
    <w:p w:rsidR="003421A0" w:rsidRDefault="003421A0" w:rsidP="003421A0">
      <w:pPr>
        <w:spacing w:after="0"/>
        <w:ind w:left="-567" w:right="-427"/>
      </w:pPr>
      <w:r>
        <w:t xml:space="preserve">Grupo 3: Persistencia de la </w:t>
      </w:r>
      <w:proofErr w:type="spellStart"/>
      <w:r>
        <w:t>inf</w:t>
      </w:r>
      <w:proofErr w:type="spellEnd"/>
      <w:r>
        <w:t xml:space="preserve">. </w:t>
      </w:r>
      <w:proofErr w:type="gramStart"/>
      <w:r>
        <w:t>por</w:t>
      </w:r>
      <w:proofErr w:type="gramEnd"/>
      <w:r>
        <w:t xml:space="preserve"> Hp:   3 pacientes.  Tasa de erradicación: 75    %</w:t>
      </w:r>
    </w:p>
    <w:p w:rsidR="003421A0" w:rsidRDefault="003421A0" w:rsidP="003421A0">
      <w:pPr>
        <w:spacing w:after="0"/>
        <w:ind w:left="-567" w:right="-427"/>
      </w:pPr>
      <w:r>
        <w:t xml:space="preserve">Grupo 4: Persistencia de la </w:t>
      </w:r>
      <w:proofErr w:type="spellStart"/>
      <w:r>
        <w:t>inf</w:t>
      </w:r>
      <w:proofErr w:type="spellEnd"/>
      <w:r>
        <w:t>. Por HP: 2 pacientes.     Tasa de erradicación: 83.3 %</w:t>
      </w:r>
    </w:p>
    <w:p w:rsidR="003421A0" w:rsidRDefault="003421A0" w:rsidP="003421A0">
      <w:pPr>
        <w:spacing w:after="0"/>
        <w:ind w:left="-567" w:right="-427"/>
      </w:pPr>
      <w:r>
        <w:t xml:space="preserve">Grupo 5: Persistencia de la </w:t>
      </w:r>
      <w:proofErr w:type="spellStart"/>
      <w:r>
        <w:t>inf</w:t>
      </w:r>
      <w:proofErr w:type="spellEnd"/>
      <w:r>
        <w:t>. Por HP: 1 pacientes.     Tasa de erradicación: 91.6 %</w:t>
      </w:r>
    </w:p>
    <w:p w:rsidR="003421A0" w:rsidRDefault="003421A0" w:rsidP="003421A0">
      <w:pPr>
        <w:spacing w:after="0"/>
        <w:ind w:left="-567" w:right="-427"/>
      </w:pPr>
      <w:r>
        <w:t xml:space="preserve">Grupo 6: Persistencia de la </w:t>
      </w:r>
      <w:proofErr w:type="spellStart"/>
      <w:r>
        <w:t>inf</w:t>
      </w:r>
      <w:proofErr w:type="spellEnd"/>
      <w:r>
        <w:t>. Por HP: 1 pacientes.     Tasa de erradicación: 91.6 %</w:t>
      </w:r>
    </w:p>
    <w:p w:rsidR="003421A0" w:rsidRDefault="003421A0" w:rsidP="003421A0">
      <w:pPr>
        <w:spacing w:after="0"/>
        <w:ind w:left="-567" w:right="-427"/>
      </w:pPr>
      <w:r>
        <w:lastRenderedPageBreak/>
        <w:t xml:space="preserve">Grupo 7: TT secuencial: Persistencia de la </w:t>
      </w:r>
      <w:proofErr w:type="spellStart"/>
      <w:r>
        <w:t>inf</w:t>
      </w:r>
      <w:proofErr w:type="spellEnd"/>
      <w:r>
        <w:t>. Por HP: 1 Paciente.  Tasa de erradicación: 91.6 %</w:t>
      </w:r>
    </w:p>
    <w:p w:rsidR="003421A0" w:rsidRDefault="003421A0" w:rsidP="003421A0">
      <w:pPr>
        <w:ind w:left="-567" w:right="-427"/>
      </w:pPr>
      <w:r>
        <w:rPr>
          <w:b/>
        </w:rPr>
        <w:t>Conclusiones</w:t>
      </w:r>
      <w:r>
        <w:t xml:space="preserve">: La administración de Zinc concomitantemente con drogas de uso habitual para el tratamiento de la gastritis por H.P, aumento la tasa de erradicación en los grupos tratados en </w:t>
      </w:r>
      <w:bookmarkStart w:id="0" w:name="_GoBack"/>
      <w:bookmarkEnd w:id="0"/>
      <w:r>
        <w:t xml:space="preserve">comparación con los grupos controles.  </w:t>
      </w:r>
    </w:p>
    <w:p w:rsidR="003421A0" w:rsidRDefault="003421A0" w:rsidP="003421A0">
      <w:pPr>
        <w:ind w:left="-567" w:right="-427"/>
      </w:pPr>
    </w:p>
    <w:p w:rsidR="00AB0A84" w:rsidRDefault="00AB0A84"/>
    <w:sectPr w:rsidR="00AB0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A0"/>
    <w:rsid w:val="003421A0"/>
    <w:rsid w:val="005222A1"/>
    <w:rsid w:val="00A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3988-398E-4B25-AD53-B971874D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A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Bedini</dc:creator>
  <cp:keywords/>
  <dc:description/>
  <cp:lastModifiedBy>Oscar Bedini</cp:lastModifiedBy>
  <cp:revision>2</cp:revision>
  <dcterms:created xsi:type="dcterms:W3CDTF">2022-12-05T23:27:00Z</dcterms:created>
  <dcterms:modified xsi:type="dcterms:W3CDTF">2022-12-05T23:29:00Z</dcterms:modified>
</cp:coreProperties>
</file>